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31A59" w14:textId="77777777" w:rsidR="00636199" w:rsidRDefault="00636199">
      <w:pPr>
        <w:spacing w:line="240" w:lineRule="auto"/>
        <w:ind w:left="0" w:hanging="2"/>
        <w:jc w:val="both"/>
        <w:rPr>
          <w:rFonts w:asciiTheme="majorHAnsi" w:eastAsia="Arial" w:hAnsiTheme="majorHAnsi" w:cstheme="majorHAnsi"/>
          <w:sz w:val="22"/>
          <w:szCs w:val="22"/>
        </w:rPr>
      </w:pPr>
    </w:p>
    <w:p w14:paraId="73F676DC" w14:textId="77777777" w:rsidR="00636199" w:rsidRDefault="00636199">
      <w:pPr>
        <w:spacing w:line="240" w:lineRule="auto"/>
        <w:ind w:left="0" w:hanging="2"/>
        <w:jc w:val="both"/>
        <w:rPr>
          <w:rFonts w:asciiTheme="majorHAnsi" w:eastAsia="Arial" w:hAnsiTheme="majorHAnsi" w:cstheme="majorHAnsi"/>
          <w:sz w:val="22"/>
          <w:szCs w:val="22"/>
        </w:rPr>
      </w:pPr>
    </w:p>
    <w:p w14:paraId="513ACE68"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b/>
          <w:sz w:val="22"/>
          <w:szCs w:val="22"/>
        </w:rPr>
        <w:t>Informationsblatt zum FAN-Fonds – Antragshilfe</w:t>
      </w:r>
    </w:p>
    <w:p w14:paraId="580D489E"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b/>
          <w:sz w:val="22"/>
          <w:szCs w:val="22"/>
        </w:rPr>
        <w:t>Fonds im Sanierungs- und Stadtumbau-Fördergebiet Frankfurter Allee Nord</w:t>
      </w:r>
    </w:p>
    <w:p w14:paraId="10A7B144" w14:textId="77777777" w:rsidR="00636199" w:rsidRDefault="00636199">
      <w:pPr>
        <w:spacing w:line="240" w:lineRule="auto"/>
        <w:ind w:left="0" w:hanging="2"/>
        <w:jc w:val="both"/>
        <w:rPr>
          <w:rFonts w:asciiTheme="majorHAnsi" w:hAnsiTheme="majorHAnsi" w:cstheme="majorHAnsi"/>
          <w:sz w:val="22"/>
          <w:szCs w:val="22"/>
        </w:rPr>
      </w:pPr>
    </w:p>
    <w:p w14:paraId="0C482558"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Mit diesem Informationsblatt soll allen interessierten Antragstellerinnen und Antragstellern eine kleine Hilfe an die Hand gegeben werden, wer diesen Fonds wie nutzen kann und wie ein Projekt beantragt werden soll.</w:t>
      </w:r>
    </w:p>
    <w:p w14:paraId="46CD57D1" w14:textId="77777777" w:rsidR="00636199" w:rsidRDefault="00636199">
      <w:pPr>
        <w:spacing w:line="240" w:lineRule="auto"/>
        <w:ind w:left="0" w:hanging="2"/>
        <w:jc w:val="both"/>
        <w:rPr>
          <w:rFonts w:asciiTheme="majorHAnsi" w:eastAsia="Arial" w:hAnsiTheme="majorHAnsi" w:cstheme="majorHAnsi"/>
          <w:sz w:val="22"/>
          <w:szCs w:val="22"/>
        </w:rPr>
      </w:pPr>
    </w:p>
    <w:p w14:paraId="4EAEC544"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b/>
          <w:sz w:val="22"/>
          <w:szCs w:val="22"/>
        </w:rPr>
        <w:t>Was ist der FAN-Fonds?</w:t>
      </w:r>
    </w:p>
    <w:p w14:paraId="21D2A177"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Anliegen ist es, im Rahmen des Sanierungs- und Fördergebietes Frankfurter Allee-Nord Aktionen des freiwilligen Engagements direkt zu unterstützen, die Bewohnerinnen und Bewohner, lokale Initiativen und Nachbarschaftshilfen im Rahmen des Gemeinwesens zu fördern und zu stärken sowie das Wohnumfeld zu verbessern.</w:t>
      </w:r>
    </w:p>
    <w:p w14:paraId="28890AF4"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Für Kleinstprojekte und -maßnahmen stehen jährlich finanzielle Mittel in Höhe von voraussichtlich 15.000 Euro zur Verfügung.</w:t>
      </w:r>
    </w:p>
    <w:p w14:paraId="2C75F960" w14:textId="77777777" w:rsidR="00636199" w:rsidRDefault="00636199">
      <w:pPr>
        <w:spacing w:line="240" w:lineRule="auto"/>
        <w:ind w:left="0" w:hanging="2"/>
        <w:jc w:val="both"/>
        <w:rPr>
          <w:rFonts w:asciiTheme="majorHAnsi" w:eastAsia="Arial" w:hAnsiTheme="majorHAnsi" w:cstheme="majorHAnsi"/>
          <w:sz w:val="22"/>
          <w:szCs w:val="22"/>
        </w:rPr>
      </w:pPr>
    </w:p>
    <w:p w14:paraId="44EC9D55"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b/>
          <w:sz w:val="22"/>
          <w:szCs w:val="22"/>
        </w:rPr>
        <w:t>Wer kann ein Projekt beantragen?</w:t>
      </w:r>
    </w:p>
    <w:p w14:paraId="445CAE54"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Bewohnerinnen und Bewohner, Einrichtungen und Akteure sowie eine Gemeinschaft von Gewerbetreibenden für gemeinnützige Zwecke</w:t>
      </w:r>
    </w:p>
    <w:p w14:paraId="3298AE4C" w14:textId="77777777" w:rsidR="00636199" w:rsidRDefault="00636199">
      <w:pPr>
        <w:spacing w:line="240" w:lineRule="auto"/>
        <w:ind w:left="0" w:hanging="2"/>
        <w:jc w:val="both"/>
        <w:rPr>
          <w:rFonts w:asciiTheme="majorHAnsi" w:eastAsia="Arial" w:hAnsiTheme="majorHAnsi" w:cstheme="majorHAnsi"/>
          <w:sz w:val="22"/>
          <w:szCs w:val="22"/>
        </w:rPr>
      </w:pPr>
    </w:p>
    <w:p w14:paraId="26637506"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Juristische Personen und Gesellschaften des bürgerlichen Rechts (GbR), sofern es sich um eine GbR juristischer Personen handelt, müssen eine Einverständniserklärung zur Einhaltung der sogenannten Transparenzbestimmungen ausfüllen. Die Verwaltungsvorschrift und das Formular sind bei der Geschäftsstelle zu erfragen. Nur unter diesen Voraussetzungen ist eine Bewilligung möglich.</w:t>
      </w:r>
    </w:p>
    <w:p w14:paraId="508D31BC" w14:textId="77777777" w:rsidR="00636199" w:rsidRDefault="00636199">
      <w:pPr>
        <w:spacing w:line="240" w:lineRule="auto"/>
        <w:ind w:left="0" w:hanging="2"/>
        <w:jc w:val="both"/>
        <w:rPr>
          <w:rFonts w:asciiTheme="majorHAnsi" w:eastAsia="Arial" w:hAnsiTheme="majorHAnsi" w:cstheme="majorHAnsi"/>
          <w:sz w:val="22"/>
          <w:szCs w:val="22"/>
        </w:rPr>
      </w:pPr>
    </w:p>
    <w:p w14:paraId="53B9C8DF"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b/>
          <w:sz w:val="22"/>
          <w:szCs w:val="22"/>
        </w:rPr>
        <w:t>Welche Aktionen werden unterstützt? Welche Kriterien sind grundsätzlich zu beachten?</w:t>
      </w:r>
    </w:p>
    <w:p w14:paraId="195BE91B"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Der Fonds dient der Finanzierung für kurzfristige und schnell sichtbare Maßnahmen, z.B.</w:t>
      </w:r>
    </w:p>
    <w:p w14:paraId="760A7F55" w14:textId="77777777" w:rsidR="00636199" w:rsidRDefault="00636199">
      <w:pPr>
        <w:spacing w:line="240" w:lineRule="auto"/>
        <w:ind w:leftChars="0" w:left="0" w:firstLineChars="0" w:firstLine="0"/>
        <w:jc w:val="both"/>
        <w:rPr>
          <w:rFonts w:asciiTheme="majorHAnsi" w:eastAsia="Arial" w:hAnsiTheme="majorHAnsi" w:cstheme="majorHAnsi"/>
          <w:sz w:val="22"/>
          <w:szCs w:val="22"/>
        </w:rPr>
      </w:pPr>
    </w:p>
    <w:p w14:paraId="0BC3C782" w14:textId="77777777" w:rsidR="00636199" w:rsidRDefault="00D46E63">
      <w:pPr>
        <w:pStyle w:val="Listenabsatz"/>
        <w:numPr>
          <w:ilvl w:val="0"/>
          <w:numId w:val="3"/>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Kleinstprojekte wie Ausstellungen, Unterstützung gemeinsamer Aktionen von Gewerbetreibenden und Nachbarschaftsinitiativen und kulturelle Veranstaltungen, die den nachbarschaftlichen Zusammenhalt fördern</w:t>
      </w:r>
    </w:p>
    <w:p w14:paraId="70C981CB" w14:textId="77777777" w:rsidR="00636199" w:rsidRDefault="00D46E63">
      <w:pPr>
        <w:pStyle w:val="Listenabsatz"/>
        <w:numPr>
          <w:ilvl w:val="0"/>
          <w:numId w:val="3"/>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Ausstattung für Gemeinweseneinrichtungen (z.B. auf öffentlichen Flächen, für Sportvereine, u.ä.)</w:t>
      </w:r>
    </w:p>
    <w:p w14:paraId="7D853218" w14:textId="77777777" w:rsidR="00636199" w:rsidRDefault="00D46E63">
      <w:pPr>
        <w:pStyle w:val="Listenabsatz"/>
        <w:numPr>
          <w:ilvl w:val="0"/>
          <w:numId w:val="3"/>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Schulungs- und Bildungsangebote</w:t>
      </w:r>
    </w:p>
    <w:p w14:paraId="79DFAB8A" w14:textId="77777777" w:rsidR="00636199" w:rsidRDefault="00D46E63">
      <w:pPr>
        <w:pStyle w:val="Listenabsatz"/>
        <w:numPr>
          <w:ilvl w:val="0"/>
          <w:numId w:val="3"/>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Öffentlichkeitsarbeit zur Aufwertung sowie Imageverbesserung des Quartiers</w:t>
      </w:r>
    </w:p>
    <w:p w14:paraId="14C4D1D5"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 xml:space="preserve"> </w:t>
      </w:r>
    </w:p>
    <w:p w14:paraId="5DB2A63A"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 xml:space="preserve">Die </w:t>
      </w:r>
      <w:r>
        <w:rPr>
          <w:rFonts w:asciiTheme="majorHAnsi" w:eastAsia="Arial" w:hAnsiTheme="majorHAnsi" w:cstheme="majorHAnsi"/>
          <w:b/>
          <w:sz w:val="22"/>
          <w:szCs w:val="22"/>
        </w:rPr>
        <w:t>Aktion</w:t>
      </w:r>
      <w:r>
        <w:rPr>
          <w:rFonts w:asciiTheme="majorHAnsi" w:eastAsia="Arial" w:hAnsiTheme="majorHAnsi" w:cstheme="majorHAnsi"/>
          <w:sz w:val="22"/>
          <w:szCs w:val="22"/>
        </w:rPr>
        <w:t xml:space="preserve">, die gefördert werden soll, darf </w:t>
      </w:r>
      <w:r>
        <w:rPr>
          <w:rFonts w:asciiTheme="majorHAnsi" w:eastAsia="Arial" w:hAnsiTheme="majorHAnsi" w:cstheme="majorHAnsi"/>
          <w:b/>
          <w:sz w:val="22"/>
          <w:szCs w:val="22"/>
        </w:rPr>
        <w:t>noch nicht begonnen</w:t>
      </w:r>
      <w:r>
        <w:rPr>
          <w:rFonts w:asciiTheme="majorHAnsi" w:eastAsia="Arial" w:hAnsiTheme="majorHAnsi" w:cstheme="majorHAnsi"/>
          <w:sz w:val="22"/>
          <w:szCs w:val="22"/>
        </w:rPr>
        <w:t xml:space="preserve"> worden sein und damit verbundene Kosten dürfen noch nicht angefallen sein!</w:t>
      </w:r>
    </w:p>
    <w:p w14:paraId="299FF4B6" w14:textId="77777777" w:rsidR="00636199" w:rsidRDefault="00636199">
      <w:pPr>
        <w:spacing w:line="240" w:lineRule="auto"/>
        <w:ind w:left="0" w:hanging="2"/>
        <w:jc w:val="both"/>
        <w:rPr>
          <w:rFonts w:asciiTheme="majorHAnsi" w:eastAsia="Arial" w:hAnsiTheme="majorHAnsi" w:cstheme="majorHAnsi"/>
          <w:sz w:val="22"/>
          <w:szCs w:val="22"/>
        </w:rPr>
      </w:pPr>
    </w:p>
    <w:p w14:paraId="787BA455" w14:textId="412D8C3E" w:rsidR="00D46E63" w:rsidRDefault="00D46E63">
      <w:pPr>
        <w:suppressAutoHyphens w:val="0"/>
        <w:spacing w:line="240" w:lineRule="auto"/>
        <w:ind w:leftChars="0" w:left="0" w:firstLineChars="0" w:firstLine="0"/>
        <w:textDirection w:val="lrTb"/>
        <w:textAlignment w:val="auto"/>
        <w:outlineLvl w:val="9"/>
        <w:rPr>
          <w:rFonts w:asciiTheme="majorHAnsi" w:eastAsia="Arial" w:hAnsiTheme="majorHAnsi" w:cstheme="majorHAnsi"/>
          <w:sz w:val="22"/>
          <w:szCs w:val="22"/>
        </w:rPr>
      </w:pPr>
      <w:r>
        <w:rPr>
          <w:rFonts w:asciiTheme="majorHAnsi" w:eastAsia="Arial" w:hAnsiTheme="majorHAnsi" w:cstheme="majorHAnsi"/>
          <w:sz w:val="22"/>
          <w:szCs w:val="22"/>
        </w:rPr>
        <w:br w:type="page"/>
      </w:r>
    </w:p>
    <w:p w14:paraId="577F37D8" w14:textId="77777777" w:rsidR="00636199" w:rsidRDefault="00D46E63">
      <w:pPr>
        <w:spacing w:line="240" w:lineRule="auto"/>
        <w:ind w:left="0" w:hanging="2"/>
        <w:jc w:val="both"/>
        <w:rPr>
          <w:rFonts w:asciiTheme="majorHAnsi" w:eastAsia="Arial" w:hAnsiTheme="majorHAnsi" w:cstheme="majorHAnsi"/>
          <w:b/>
          <w:sz w:val="22"/>
          <w:szCs w:val="22"/>
        </w:rPr>
      </w:pPr>
      <w:r>
        <w:rPr>
          <w:rFonts w:asciiTheme="majorHAnsi" w:eastAsia="Arial" w:hAnsiTheme="majorHAnsi" w:cstheme="majorHAnsi"/>
          <w:b/>
          <w:sz w:val="22"/>
          <w:szCs w:val="22"/>
        </w:rPr>
        <w:lastRenderedPageBreak/>
        <w:t>Kriterien für die Prüfung der Anträge auf Bewilligung werden sein:</w:t>
      </w:r>
    </w:p>
    <w:p w14:paraId="468E3B06" w14:textId="77777777" w:rsidR="00636199" w:rsidRDefault="00636199">
      <w:pPr>
        <w:spacing w:line="240" w:lineRule="auto"/>
        <w:ind w:left="0" w:hanging="2"/>
        <w:jc w:val="both"/>
        <w:rPr>
          <w:rFonts w:asciiTheme="majorHAnsi" w:eastAsia="Arial" w:hAnsiTheme="majorHAnsi" w:cstheme="majorHAnsi"/>
          <w:sz w:val="22"/>
          <w:szCs w:val="22"/>
        </w:rPr>
      </w:pPr>
    </w:p>
    <w:p w14:paraId="597B420D" w14:textId="77777777" w:rsidR="00636199" w:rsidRDefault="00D46E63">
      <w:pPr>
        <w:pStyle w:val="Listenabsatz"/>
        <w:numPr>
          <w:ilvl w:val="0"/>
          <w:numId w:val="2"/>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Breitenwirkung des Projektes: Zielgruppe/n bzw. daran Beteiligte</w:t>
      </w:r>
    </w:p>
    <w:p w14:paraId="68A1C3A3" w14:textId="77777777" w:rsidR="00636199" w:rsidRDefault="00D46E63">
      <w:pPr>
        <w:pStyle w:val="Listenabsatz"/>
        <w:numPr>
          <w:ilvl w:val="0"/>
          <w:numId w:val="2"/>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Wirtschaftlichkeit</w:t>
      </w:r>
    </w:p>
    <w:p w14:paraId="20DB3908" w14:textId="77777777" w:rsidR="00636199" w:rsidRDefault="00D46E63">
      <w:pPr>
        <w:pStyle w:val="Listenabsatz"/>
        <w:numPr>
          <w:ilvl w:val="0"/>
          <w:numId w:val="2"/>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Nachhaltigkeit</w:t>
      </w:r>
    </w:p>
    <w:p w14:paraId="1527A234" w14:textId="77777777" w:rsidR="00636199" w:rsidRDefault="00D46E63">
      <w:pPr>
        <w:pStyle w:val="Listenabsatz"/>
        <w:numPr>
          <w:ilvl w:val="0"/>
          <w:numId w:val="2"/>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 xml:space="preserve">Vernetzung/Kooperation im Fördergebiet </w:t>
      </w:r>
    </w:p>
    <w:p w14:paraId="2C866482" w14:textId="77777777" w:rsidR="00636199" w:rsidRDefault="00D46E63">
      <w:pPr>
        <w:pStyle w:val="Listenabsatz"/>
        <w:numPr>
          <w:ilvl w:val="0"/>
          <w:numId w:val="2"/>
        </w:numPr>
        <w:spacing w:line="240" w:lineRule="auto"/>
        <w:ind w:leftChars="0" w:firstLineChars="0"/>
        <w:jc w:val="both"/>
        <w:rPr>
          <w:rFonts w:asciiTheme="majorHAnsi" w:hAnsiTheme="majorHAnsi" w:cstheme="majorHAnsi"/>
          <w:sz w:val="22"/>
          <w:szCs w:val="22"/>
        </w:rPr>
      </w:pPr>
      <w:r>
        <w:rPr>
          <w:rFonts w:asciiTheme="majorHAnsi" w:eastAsia="Arial" w:hAnsiTheme="majorHAnsi" w:cstheme="majorHAnsi"/>
          <w:sz w:val="22"/>
          <w:szCs w:val="22"/>
        </w:rPr>
        <w:t xml:space="preserve">Ausgewogenheit von Anträgen hinsichtlich der Vielfalt </w:t>
      </w:r>
    </w:p>
    <w:p w14:paraId="3ACA8ADF" w14:textId="77777777" w:rsidR="00636199" w:rsidRDefault="00636199">
      <w:pPr>
        <w:spacing w:line="240" w:lineRule="auto"/>
        <w:ind w:left="0" w:hanging="2"/>
        <w:jc w:val="both"/>
        <w:rPr>
          <w:rFonts w:asciiTheme="majorHAnsi" w:eastAsia="Arial" w:hAnsiTheme="majorHAnsi" w:cstheme="majorHAnsi"/>
          <w:sz w:val="22"/>
          <w:szCs w:val="22"/>
        </w:rPr>
      </w:pPr>
    </w:p>
    <w:p w14:paraId="073E56F8"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Als Angebot für ein demokratisches Engagement darf mittels des FAN-Fonds und der daraus finanzierten Projekte niemand bezüglich Herkunft, Geschlecht, Religion/Weltanschauung, Behinderung, Alter oder sexueller Identität diskriminiert werden.</w:t>
      </w:r>
    </w:p>
    <w:p w14:paraId="7D9B2648" w14:textId="77777777" w:rsidR="00636199" w:rsidRDefault="00636199">
      <w:pPr>
        <w:spacing w:line="240" w:lineRule="auto"/>
        <w:ind w:left="0" w:hanging="2"/>
        <w:jc w:val="both"/>
        <w:rPr>
          <w:rFonts w:asciiTheme="majorHAnsi" w:eastAsia="Arial" w:hAnsiTheme="majorHAnsi" w:cstheme="majorHAnsi"/>
          <w:sz w:val="22"/>
          <w:szCs w:val="22"/>
        </w:rPr>
      </w:pPr>
    </w:p>
    <w:p w14:paraId="44188F38"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Es ist ein Abschlussbericht zur Projektförderung gemäß dem Formular „FAN-Fonds Abschlussbericht“ zu erstellen.</w:t>
      </w:r>
    </w:p>
    <w:p w14:paraId="7D3B22F1" w14:textId="77777777" w:rsidR="00636199" w:rsidRDefault="00636199">
      <w:pPr>
        <w:spacing w:line="240" w:lineRule="auto"/>
        <w:ind w:left="0" w:hanging="2"/>
        <w:jc w:val="both"/>
        <w:rPr>
          <w:rFonts w:asciiTheme="majorHAnsi" w:eastAsia="Arial" w:hAnsiTheme="majorHAnsi" w:cstheme="majorHAnsi"/>
          <w:sz w:val="22"/>
          <w:szCs w:val="22"/>
        </w:rPr>
      </w:pPr>
    </w:p>
    <w:p w14:paraId="60B88251"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b/>
          <w:sz w:val="22"/>
          <w:szCs w:val="22"/>
        </w:rPr>
        <w:t xml:space="preserve">Wie und wo ist ein Antrag zu stellen? </w:t>
      </w:r>
    </w:p>
    <w:p w14:paraId="216C468D"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Das Antragsformular erfasst die wichtigsten Daten und ist von den Antragstellenden auszufüllen. Art und Umfang des Projektes sowie der finanzielle Rahmen werden für die Entscheidung des FAN-Beirats benötigt.</w:t>
      </w:r>
    </w:p>
    <w:p w14:paraId="51DB62FE" w14:textId="77777777" w:rsidR="00636199" w:rsidRDefault="00636199">
      <w:pPr>
        <w:spacing w:line="240" w:lineRule="auto"/>
        <w:ind w:left="0" w:hanging="2"/>
        <w:jc w:val="both"/>
        <w:rPr>
          <w:rFonts w:asciiTheme="majorHAnsi" w:eastAsia="Arial" w:hAnsiTheme="majorHAnsi" w:cstheme="majorHAnsi"/>
          <w:sz w:val="22"/>
          <w:szCs w:val="22"/>
        </w:rPr>
      </w:pPr>
    </w:p>
    <w:p w14:paraId="687186F5"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Für nicht belegbare Ausgaben ist es möglich, pauschal bis zu 3% der Projektkosten im Finanzplan zu veranschlagen.</w:t>
      </w:r>
    </w:p>
    <w:p w14:paraId="6653594A" w14:textId="77777777" w:rsidR="00636199" w:rsidRDefault="00636199">
      <w:pPr>
        <w:spacing w:line="240" w:lineRule="auto"/>
        <w:ind w:left="0" w:hanging="2"/>
        <w:jc w:val="both"/>
        <w:rPr>
          <w:rFonts w:asciiTheme="majorHAnsi" w:eastAsia="Arial" w:hAnsiTheme="majorHAnsi" w:cstheme="majorHAnsi"/>
          <w:sz w:val="22"/>
          <w:szCs w:val="22"/>
        </w:rPr>
      </w:pPr>
    </w:p>
    <w:p w14:paraId="2695687E" w14:textId="77777777" w:rsidR="00636199" w:rsidRDefault="00D46E63">
      <w:pPr>
        <w:spacing w:line="240" w:lineRule="auto"/>
        <w:ind w:left="0" w:hanging="2"/>
        <w:jc w:val="both"/>
        <w:rPr>
          <w:rFonts w:asciiTheme="majorHAnsi" w:eastAsia="Arial" w:hAnsiTheme="majorHAnsi" w:cstheme="majorHAnsi"/>
          <w:color w:val="auto"/>
          <w:sz w:val="22"/>
          <w:szCs w:val="22"/>
        </w:rPr>
      </w:pPr>
      <w:r>
        <w:rPr>
          <w:rFonts w:asciiTheme="majorHAnsi" w:eastAsia="Arial" w:hAnsiTheme="majorHAnsi" w:cstheme="majorHAnsi"/>
          <w:sz w:val="22"/>
          <w:szCs w:val="22"/>
        </w:rPr>
        <w:t xml:space="preserve">Bei </w:t>
      </w:r>
      <w:r>
        <w:rPr>
          <w:rFonts w:asciiTheme="majorHAnsi" w:eastAsia="Arial" w:hAnsiTheme="majorHAnsi" w:cstheme="majorHAnsi"/>
          <w:b/>
          <w:sz w:val="22"/>
          <w:szCs w:val="22"/>
        </w:rPr>
        <w:t>Sachkostenvoranschlägen bis einschließlich 400 Euro</w:t>
      </w:r>
      <w:r>
        <w:rPr>
          <w:rFonts w:asciiTheme="majorHAnsi" w:eastAsia="Arial" w:hAnsiTheme="majorHAnsi" w:cstheme="majorHAnsi"/>
          <w:sz w:val="22"/>
          <w:szCs w:val="22"/>
        </w:rPr>
        <w:t xml:space="preserve"> ist ein </w:t>
      </w:r>
      <w:r>
        <w:rPr>
          <w:rFonts w:asciiTheme="majorHAnsi" w:eastAsia="Arial" w:hAnsiTheme="majorHAnsi" w:cstheme="majorHAnsi"/>
          <w:b/>
          <w:sz w:val="22"/>
          <w:szCs w:val="22"/>
        </w:rPr>
        <w:t>formloser Preisvergleich</w:t>
      </w:r>
      <w:r>
        <w:rPr>
          <w:rFonts w:asciiTheme="majorHAnsi" w:eastAsia="Arial" w:hAnsiTheme="majorHAnsi" w:cstheme="majorHAnsi"/>
          <w:sz w:val="22"/>
          <w:szCs w:val="22"/>
        </w:rPr>
        <w:t xml:space="preserve"> (z.B. mittels Prospekten) möglich.</w:t>
      </w:r>
      <w:r>
        <w:rPr>
          <w:rFonts w:asciiTheme="majorHAnsi" w:eastAsia="Arial" w:hAnsiTheme="majorHAnsi" w:cstheme="majorHAnsi"/>
          <w:color w:val="FF0000"/>
          <w:sz w:val="22"/>
          <w:szCs w:val="22"/>
        </w:rPr>
        <w:t xml:space="preserve"> </w:t>
      </w:r>
      <w:r>
        <w:rPr>
          <w:rFonts w:asciiTheme="majorHAnsi" w:eastAsia="Arial" w:hAnsiTheme="majorHAnsi" w:cstheme="majorHAnsi"/>
          <w:color w:val="auto"/>
          <w:sz w:val="22"/>
          <w:szCs w:val="22"/>
        </w:rPr>
        <w:t xml:space="preserve">Bei Summen </w:t>
      </w:r>
      <w:r>
        <w:rPr>
          <w:rFonts w:asciiTheme="majorHAnsi" w:eastAsia="Arial" w:hAnsiTheme="majorHAnsi" w:cstheme="majorHAnsi"/>
          <w:b/>
          <w:color w:val="auto"/>
          <w:sz w:val="22"/>
          <w:szCs w:val="22"/>
        </w:rPr>
        <w:t>über 400 Euro</w:t>
      </w:r>
      <w:r>
        <w:rPr>
          <w:rFonts w:asciiTheme="majorHAnsi" w:eastAsia="Arial" w:hAnsiTheme="majorHAnsi" w:cstheme="majorHAnsi"/>
          <w:color w:val="auto"/>
          <w:sz w:val="22"/>
          <w:szCs w:val="22"/>
        </w:rPr>
        <w:t xml:space="preserve"> sind </w:t>
      </w:r>
      <w:r>
        <w:rPr>
          <w:rFonts w:asciiTheme="majorHAnsi" w:eastAsia="Arial" w:hAnsiTheme="majorHAnsi" w:cstheme="majorHAnsi"/>
          <w:b/>
          <w:color w:val="auto"/>
          <w:sz w:val="22"/>
          <w:szCs w:val="22"/>
        </w:rPr>
        <w:t>3 schriftliche Angebote</w:t>
      </w:r>
      <w:r>
        <w:rPr>
          <w:rFonts w:asciiTheme="majorHAnsi" w:eastAsia="Arial" w:hAnsiTheme="majorHAnsi" w:cstheme="majorHAnsi"/>
          <w:color w:val="auto"/>
          <w:sz w:val="22"/>
          <w:szCs w:val="22"/>
        </w:rPr>
        <w:t xml:space="preserve"> einzuholen. Die angeschafften Sachmittel („Wirtschaftsgüter“) bleiben im Bezirkseigentum und werden gegebenenfalls einem gemeinnützigen Träger nach dem Projekt übergeben bzw. verbleiben bei diesem.</w:t>
      </w:r>
    </w:p>
    <w:p w14:paraId="4CD65FDF" w14:textId="77777777" w:rsidR="00636199" w:rsidRDefault="00636199">
      <w:pPr>
        <w:spacing w:line="240" w:lineRule="auto"/>
        <w:ind w:left="0" w:hanging="2"/>
        <w:jc w:val="both"/>
        <w:rPr>
          <w:rFonts w:asciiTheme="majorHAnsi" w:eastAsia="Arial" w:hAnsiTheme="majorHAnsi" w:cstheme="majorHAnsi"/>
          <w:color w:val="auto"/>
          <w:sz w:val="22"/>
          <w:szCs w:val="22"/>
        </w:rPr>
      </w:pPr>
    </w:p>
    <w:p w14:paraId="5728CD65"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 xml:space="preserve">Die </w:t>
      </w:r>
      <w:r>
        <w:rPr>
          <w:rFonts w:asciiTheme="majorHAnsi" w:eastAsia="Arial" w:hAnsiTheme="majorHAnsi" w:cstheme="majorHAnsi"/>
          <w:b/>
          <w:sz w:val="22"/>
          <w:szCs w:val="22"/>
        </w:rPr>
        <w:t>Anträge</w:t>
      </w:r>
      <w:r>
        <w:rPr>
          <w:rFonts w:asciiTheme="majorHAnsi" w:eastAsia="Arial" w:hAnsiTheme="majorHAnsi" w:cstheme="majorHAnsi"/>
          <w:sz w:val="22"/>
          <w:szCs w:val="22"/>
        </w:rPr>
        <w:t xml:space="preserve"> können ganzjährig </w:t>
      </w:r>
      <w:r>
        <w:rPr>
          <w:rFonts w:asciiTheme="majorHAnsi" w:eastAsia="Arial" w:hAnsiTheme="majorHAnsi" w:cstheme="majorHAnsi"/>
          <w:b/>
          <w:sz w:val="22"/>
          <w:szCs w:val="22"/>
        </w:rPr>
        <w:t>bis zum 31.10. des aktuellen Jahres</w:t>
      </w:r>
      <w:r>
        <w:rPr>
          <w:rFonts w:asciiTheme="majorHAnsi" w:eastAsia="Arial" w:hAnsiTheme="majorHAnsi" w:cstheme="majorHAnsi"/>
          <w:sz w:val="22"/>
          <w:szCs w:val="22"/>
        </w:rPr>
        <w:t xml:space="preserve"> eingereicht werden. Zur Entscheidungsvorbereitung für den FAN-Beirat müssen die Anträge mindestens 24 Werktage vor der nächsten Beiratssitzung in der Geschäftsstelle vorliegen, um zeitnah behandelt zu werden. Die </w:t>
      </w:r>
      <w:r>
        <w:rPr>
          <w:rFonts w:asciiTheme="majorHAnsi" w:eastAsia="Arial" w:hAnsiTheme="majorHAnsi" w:cstheme="majorHAnsi"/>
          <w:b/>
          <w:sz w:val="22"/>
          <w:szCs w:val="22"/>
        </w:rPr>
        <w:t>Abrechnung</w:t>
      </w:r>
      <w:r>
        <w:rPr>
          <w:rFonts w:asciiTheme="majorHAnsi" w:eastAsia="Arial" w:hAnsiTheme="majorHAnsi" w:cstheme="majorHAnsi"/>
          <w:sz w:val="22"/>
          <w:szCs w:val="22"/>
        </w:rPr>
        <w:t xml:space="preserve"> der verauslagten Mittel muss </w:t>
      </w:r>
      <w:r>
        <w:rPr>
          <w:rFonts w:asciiTheme="majorHAnsi" w:eastAsia="Arial" w:hAnsiTheme="majorHAnsi" w:cstheme="majorHAnsi"/>
          <w:b/>
          <w:sz w:val="22"/>
          <w:szCs w:val="22"/>
        </w:rPr>
        <w:t>bis zum 10.12. des aktuellen Jahres</w:t>
      </w:r>
      <w:r>
        <w:rPr>
          <w:rFonts w:asciiTheme="majorHAnsi" w:eastAsia="Arial" w:hAnsiTheme="majorHAnsi" w:cstheme="majorHAnsi"/>
          <w:sz w:val="22"/>
          <w:szCs w:val="22"/>
        </w:rPr>
        <w:t xml:space="preserve"> zu erfolgen:</w:t>
      </w:r>
    </w:p>
    <w:p w14:paraId="535C7E4C" w14:textId="77777777" w:rsidR="00636199" w:rsidRDefault="00636199">
      <w:pPr>
        <w:spacing w:line="240" w:lineRule="auto"/>
        <w:ind w:left="0" w:hanging="2"/>
        <w:jc w:val="both"/>
        <w:rPr>
          <w:rFonts w:asciiTheme="majorHAnsi" w:eastAsia="Arial" w:hAnsiTheme="majorHAnsi" w:cstheme="majorHAnsi"/>
          <w:sz w:val="22"/>
          <w:szCs w:val="22"/>
        </w:rPr>
      </w:pPr>
    </w:p>
    <w:p w14:paraId="1E6604F3" w14:textId="6F4157D4" w:rsidR="00D46E63" w:rsidRDefault="00D46E63">
      <w:pPr>
        <w:suppressAutoHyphens w:val="0"/>
        <w:spacing w:line="240" w:lineRule="auto"/>
        <w:ind w:leftChars="0" w:left="0" w:firstLineChars="0" w:firstLine="0"/>
        <w:textDirection w:val="lrTb"/>
        <w:textAlignment w:val="auto"/>
        <w:outlineLvl w:val="9"/>
        <w:rPr>
          <w:rFonts w:asciiTheme="majorHAnsi" w:eastAsia="Arial" w:hAnsiTheme="majorHAnsi" w:cstheme="majorHAnsi"/>
          <w:b/>
          <w:color w:val="auto"/>
          <w:sz w:val="22"/>
          <w:szCs w:val="22"/>
          <w:u w:val="single"/>
        </w:rPr>
      </w:pPr>
      <w:r>
        <w:rPr>
          <w:rFonts w:asciiTheme="majorHAnsi" w:eastAsia="Arial" w:hAnsiTheme="majorHAnsi" w:cstheme="majorHAnsi"/>
          <w:b/>
          <w:color w:val="auto"/>
          <w:sz w:val="22"/>
          <w:szCs w:val="22"/>
          <w:u w:val="single"/>
        </w:rPr>
        <w:br w:type="page"/>
      </w:r>
    </w:p>
    <w:p w14:paraId="5E2AA1E4" w14:textId="77777777" w:rsidR="00636199" w:rsidRDefault="00D46E63">
      <w:pPr>
        <w:spacing w:line="240" w:lineRule="auto"/>
        <w:ind w:left="0" w:hanging="2"/>
        <w:jc w:val="both"/>
        <w:rPr>
          <w:rFonts w:asciiTheme="majorHAnsi" w:eastAsia="Arial" w:hAnsiTheme="majorHAnsi" w:cstheme="majorHAnsi"/>
          <w:b/>
          <w:color w:val="auto"/>
          <w:sz w:val="22"/>
          <w:szCs w:val="22"/>
          <w:u w:val="single"/>
        </w:rPr>
      </w:pPr>
      <w:r>
        <w:rPr>
          <w:rFonts w:asciiTheme="majorHAnsi" w:eastAsia="Arial" w:hAnsiTheme="majorHAnsi" w:cstheme="majorHAnsi"/>
          <w:b/>
          <w:color w:val="auto"/>
          <w:sz w:val="22"/>
          <w:szCs w:val="22"/>
          <w:u w:val="single"/>
        </w:rPr>
        <w:lastRenderedPageBreak/>
        <w:t>Die Anträge sind mit dem korrekten Projektnamen zu richten an:</w:t>
      </w:r>
    </w:p>
    <w:p w14:paraId="4F37F1FF" w14:textId="7727EB17" w:rsidR="00D46E63" w:rsidRPr="00D46E63" w:rsidRDefault="00D46E63" w:rsidP="00D46E63">
      <w:pPr>
        <w:spacing w:line="240" w:lineRule="auto"/>
        <w:ind w:left="0" w:hanging="2"/>
        <w:jc w:val="center"/>
        <w:rPr>
          <w:rFonts w:ascii="Arial" w:eastAsia="Arial" w:hAnsi="Arial" w:cs="Arial"/>
          <w:bCs/>
          <w:sz w:val="32"/>
          <w:szCs w:val="32"/>
        </w:rPr>
      </w:pPr>
      <w:r w:rsidRPr="00D46E63">
        <w:rPr>
          <w:rFonts w:asciiTheme="majorHAnsi" w:eastAsia="Arial" w:hAnsiTheme="majorHAnsi" w:cstheme="majorHAnsi"/>
          <w:bCs/>
          <w:sz w:val="22"/>
          <w:szCs w:val="22"/>
        </w:rPr>
        <w:t>(</w:t>
      </w:r>
      <w:r>
        <w:rPr>
          <w:rFonts w:asciiTheme="majorHAnsi" w:eastAsia="Arial" w:hAnsiTheme="majorHAnsi" w:cstheme="majorHAnsi"/>
          <w:bCs/>
          <w:sz w:val="22"/>
          <w:szCs w:val="22"/>
        </w:rPr>
        <w:t xml:space="preserve">über </w:t>
      </w:r>
      <w:r w:rsidRPr="00D46E63">
        <w:rPr>
          <w:rFonts w:asciiTheme="majorHAnsi" w:eastAsia="Arial" w:hAnsiTheme="majorHAnsi" w:cstheme="majorHAnsi"/>
          <w:bCs/>
          <w:sz w:val="22"/>
          <w:szCs w:val="22"/>
        </w:rPr>
        <w:t xml:space="preserve">Formular </w:t>
      </w:r>
      <w:r>
        <w:rPr>
          <w:rFonts w:asciiTheme="majorHAnsi" w:eastAsia="Arial" w:hAnsiTheme="majorHAnsi" w:cstheme="majorHAnsi"/>
          <w:bCs/>
          <w:sz w:val="22"/>
          <w:szCs w:val="22"/>
        </w:rPr>
        <w:t>„FAN-Fonds 202</w:t>
      </w:r>
      <w:r w:rsidR="00C32155">
        <w:rPr>
          <w:rFonts w:asciiTheme="majorHAnsi" w:eastAsia="Arial" w:hAnsiTheme="majorHAnsi" w:cstheme="majorHAnsi"/>
          <w:bCs/>
          <w:sz w:val="22"/>
          <w:szCs w:val="22"/>
        </w:rPr>
        <w:t>5</w:t>
      </w:r>
      <w:bookmarkStart w:id="0" w:name="_GoBack"/>
      <w:bookmarkEnd w:id="0"/>
      <w:r>
        <w:rPr>
          <w:rFonts w:asciiTheme="majorHAnsi" w:eastAsia="Arial" w:hAnsiTheme="majorHAnsi" w:cstheme="majorHAnsi"/>
          <w:bCs/>
          <w:sz w:val="22"/>
          <w:szCs w:val="22"/>
        </w:rPr>
        <w:t xml:space="preserve"> – Antrag auf </w:t>
      </w:r>
      <w:r w:rsidRPr="00D46E63">
        <w:rPr>
          <w:rFonts w:asciiTheme="majorHAnsi" w:eastAsia="Arial" w:hAnsiTheme="majorHAnsi" w:cstheme="majorHAnsi"/>
          <w:bCs/>
          <w:sz w:val="22"/>
          <w:szCs w:val="22"/>
        </w:rPr>
        <w:t>Projektförderung</w:t>
      </w:r>
      <w:r>
        <w:rPr>
          <w:rFonts w:asciiTheme="majorHAnsi" w:eastAsia="Arial" w:hAnsiTheme="majorHAnsi" w:cstheme="majorHAnsi"/>
          <w:bCs/>
          <w:sz w:val="22"/>
          <w:szCs w:val="22"/>
        </w:rPr>
        <w:t>“</w:t>
      </w:r>
      <w:r w:rsidRPr="00D46E63">
        <w:rPr>
          <w:rFonts w:asciiTheme="majorHAnsi" w:eastAsia="Arial" w:hAnsiTheme="majorHAnsi" w:cstheme="majorHAnsi"/>
          <w:bCs/>
          <w:sz w:val="22"/>
          <w:szCs w:val="22"/>
        </w:rPr>
        <w:t>)</w:t>
      </w:r>
    </w:p>
    <w:p w14:paraId="24919081" w14:textId="77777777" w:rsidR="00636199" w:rsidRDefault="00636199">
      <w:pPr>
        <w:spacing w:line="240" w:lineRule="auto"/>
        <w:ind w:left="0" w:hanging="2"/>
        <w:jc w:val="both"/>
        <w:rPr>
          <w:rFonts w:asciiTheme="majorHAnsi" w:eastAsia="Arial" w:hAnsiTheme="majorHAnsi" w:cstheme="majorHAnsi"/>
          <w:b/>
          <w:color w:val="auto"/>
          <w:sz w:val="22"/>
          <w:szCs w:val="22"/>
          <w:u w:val="single"/>
        </w:rPr>
      </w:pPr>
    </w:p>
    <w:p w14:paraId="7F61752F"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Bezirksamt Lichtenberg von Berlin</w:t>
      </w:r>
    </w:p>
    <w:p w14:paraId="58D9817C"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 xml:space="preserve">Geschäftsstelle FAN-Beirat </w:t>
      </w:r>
    </w:p>
    <w:p w14:paraId="2B49642A"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Daniela Dahlke (OE SPK)</w:t>
      </w:r>
    </w:p>
    <w:p w14:paraId="39946B3C"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Alt-Friedrichsfelde 60</w:t>
      </w:r>
    </w:p>
    <w:p w14:paraId="0DE2BDAF"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10315 Berlin</w:t>
      </w:r>
    </w:p>
    <w:p w14:paraId="4E9390BB" w14:textId="77777777" w:rsidR="00636199" w:rsidRDefault="00636199">
      <w:pPr>
        <w:spacing w:line="240" w:lineRule="auto"/>
        <w:ind w:left="0" w:hanging="2"/>
        <w:jc w:val="both"/>
        <w:rPr>
          <w:rFonts w:asciiTheme="majorHAnsi" w:eastAsia="Arial" w:hAnsiTheme="majorHAnsi" w:cstheme="majorHAnsi"/>
          <w:sz w:val="22"/>
          <w:szCs w:val="22"/>
        </w:rPr>
      </w:pPr>
    </w:p>
    <w:p w14:paraId="0E242B94"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Telefon: 030-90296-3354</w:t>
      </w:r>
    </w:p>
    <w:p w14:paraId="1CA897D9" w14:textId="77777777" w:rsidR="00636199" w:rsidRDefault="00C32155">
      <w:pPr>
        <w:spacing w:line="240" w:lineRule="auto"/>
        <w:ind w:left="0" w:hanging="2"/>
        <w:jc w:val="both"/>
        <w:rPr>
          <w:rFonts w:asciiTheme="majorHAnsi" w:eastAsia="Arial" w:hAnsiTheme="majorHAnsi" w:cstheme="majorHAnsi"/>
          <w:sz w:val="22"/>
          <w:szCs w:val="22"/>
        </w:rPr>
      </w:pPr>
      <w:hyperlink r:id="rId8" w:history="1">
        <w:r w:rsidR="00D46E63">
          <w:rPr>
            <w:rStyle w:val="Hyperlink"/>
            <w:rFonts w:asciiTheme="majorHAnsi" w:eastAsia="Arial" w:hAnsiTheme="majorHAnsi" w:cstheme="majorHAnsi"/>
            <w:sz w:val="22"/>
            <w:szCs w:val="22"/>
          </w:rPr>
          <w:t>daniela.dahlke@lichtenberg.berlin.de</w:t>
        </w:r>
      </w:hyperlink>
      <w:r w:rsidR="00D46E63">
        <w:rPr>
          <w:rFonts w:asciiTheme="majorHAnsi" w:eastAsia="Arial" w:hAnsiTheme="majorHAnsi" w:cstheme="majorHAnsi"/>
          <w:sz w:val="22"/>
          <w:szCs w:val="22"/>
        </w:rPr>
        <w:t xml:space="preserve"> </w:t>
      </w:r>
    </w:p>
    <w:p w14:paraId="0AD61376" w14:textId="77777777" w:rsidR="00636199" w:rsidRDefault="00636199">
      <w:pPr>
        <w:spacing w:line="240" w:lineRule="auto"/>
        <w:ind w:leftChars="0" w:left="0" w:firstLineChars="0" w:firstLine="0"/>
        <w:jc w:val="both"/>
        <w:rPr>
          <w:rFonts w:asciiTheme="majorHAnsi" w:eastAsia="Arial" w:hAnsiTheme="majorHAnsi" w:cstheme="majorHAnsi"/>
          <w:sz w:val="22"/>
          <w:szCs w:val="22"/>
        </w:rPr>
      </w:pPr>
    </w:p>
    <w:p w14:paraId="51B54F1D" w14:textId="77777777" w:rsidR="00636199" w:rsidRDefault="00636199">
      <w:pPr>
        <w:spacing w:line="240" w:lineRule="auto"/>
        <w:ind w:leftChars="0" w:left="0" w:firstLineChars="0" w:firstLine="0"/>
        <w:jc w:val="both"/>
        <w:rPr>
          <w:rFonts w:asciiTheme="majorHAnsi" w:eastAsia="Arial" w:hAnsiTheme="majorHAnsi" w:cstheme="majorHAnsi"/>
          <w:sz w:val="22"/>
          <w:szCs w:val="22"/>
        </w:rPr>
      </w:pPr>
    </w:p>
    <w:p w14:paraId="33A8DCAF" w14:textId="77777777" w:rsidR="00636199" w:rsidRDefault="00D46E63">
      <w:pPr>
        <w:spacing w:line="240" w:lineRule="auto"/>
        <w:ind w:left="0" w:hanging="2"/>
        <w:jc w:val="both"/>
        <w:rPr>
          <w:rFonts w:asciiTheme="majorHAnsi" w:eastAsia="Arial" w:hAnsiTheme="majorHAnsi" w:cstheme="majorHAnsi"/>
          <w:b/>
          <w:sz w:val="22"/>
          <w:szCs w:val="22"/>
          <w:u w:val="single"/>
        </w:rPr>
      </w:pPr>
      <w:r>
        <w:rPr>
          <w:rFonts w:asciiTheme="majorHAnsi" w:eastAsia="Arial" w:hAnsiTheme="majorHAnsi" w:cstheme="majorHAnsi"/>
          <w:b/>
          <w:sz w:val="22"/>
          <w:szCs w:val="22"/>
          <w:u w:val="single"/>
        </w:rPr>
        <w:t>Die Mittelabforderung und Belege sind unter Angabe des korrekten Projektnamens zu richten an:</w:t>
      </w:r>
    </w:p>
    <w:p w14:paraId="54D70863" w14:textId="0D9265BA" w:rsidR="00D46E63" w:rsidRPr="00D46E63" w:rsidRDefault="00D46E63" w:rsidP="00D46E63">
      <w:pPr>
        <w:spacing w:line="240" w:lineRule="auto"/>
        <w:ind w:left="0" w:hanging="2"/>
        <w:jc w:val="center"/>
        <w:rPr>
          <w:rFonts w:ascii="Arial" w:eastAsia="Arial" w:hAnsi="Arial" w:cs="Arial"/>
          <w:bCs/>
          <w:sz w:val="32"/>
          <w:szCs w:val="32"/>
        </w:rPr>
      </w:pPr>
      <w:r w:rsidRPr="00D46E63">
        <w:rPr>
          <w:rFonts w:asciiTheme="majorHAnsi" w:eastAsia="Arial" w:hAnsiTheme="majorHAnsi" w:cstheme="majorHAnsi"/>
          <w:bCs/>
          <w:sz w:val="22"/>
          <w:szCs w:val="22"/>
        </w:rPr>
        <w:t>(</w:t>
      </w:r>
      <w:r>
        <w:rPr>
          <w:rFonts w:asciiTheme="majorHAnsi" w:eastAsia="Arial" w:hAnsiTheme="majorHAnsi" w:cstheme="majorHAnsi"/>
          <w:bCs/>
          <w:sz w:val="22"/>
          <w:szCs w:val="22"/>
        </w:rPr>
        <w:t xml:space="preserve">über </w:t>
      </w:r>
      <w:r w:rsidRPr="00D46E63">
        <w:rPr>
          <w:rFonts w:asciiTheme="majorHAnsi" w:eastAsia="Arial" w:hAnsiTheme="majorHAnsi" w:cstheme="majorHAnsi"/>
          <w:bCs/>
          <w:sz w:val="22"/>
          <w:szCs w:val="22"/>
        </w:rPr>
        <w:t xml:space="preserve">Formular </w:t>
      </w:r>
      <w:r>
        <w:rPr>
          <w:rFonts w:asciiTheme="majorHAnsi" w:eastAsia="Arial" w:hAnsiTheme="majorHAnsi" w:cstheme="majorHAnsi"/>
          <w:bCs/>
          <w:sz w:val="22"/>
          <w:szCs w:val="22"/>
        </w:rPr>
        <w:t>„</w:t>
      </w:r>
      <w:r w:rsidRPr="00D46E63">
        <w:rPr>
          <w:rFonts w:asciiTheme="majorHAnsi" w:eastAsia="Arial" w:hAnsiTheme="majorHAnsi" w:cstheme="majorHAnsi"/>
          <w:bCs/>
          <w:sz w:val="22"/>
          <w:szCs w:val="22"/>
        </w:rPr>
        <w:t>Projektförderung: Mittelabruf / Erstattung Auslagen</w:t>
      </w:r>
      <w:r>
        <w:rPr>
          <w:rFonts w:asciiTheme="majorHAnsi" w:eastAsia="Arial" w:hAnsiTheme="majorHAnsi" w:cstheme="majorHAnsi"/>
          <w:bCs/>
          <w:sz w:val="22"/>
          <w:szCs w:val="22"/>
        </w:rPr>
        <w:t>“</w:t>
      </w:r>
      <w:r w:rsidRPr="00D46E63">
        <w:rPr>
          <w:rFonts w:asciiTheme="majorHAnsi" w:eastAsia="Arial" w:hAnsiTheme="majorHAnsi" w:cstheme="majorHAnsi"/>
          <w:bCs/>
          <w:sz w:val="22"/>
          <w:szCs w:val="22"/>
        </w:rPr>
        <w:t>)</w:t>
      </w:r>
    </w:p>
    <w:p w14:paraId="7026F48C" w14:textId="58699CD3" w:rsidR="00636199" w:rsidRDefault="00636199">
      <w:pPr>
        <w:spacing w:line="240" w:lineRule="auto"/>
        <w:ind w:left="0" w:hanging="2"/>
        <w:jc w:val="both"/>
        <w:rPr>
          <w:rFonts w:asciiTheme="majorHAnsi" w:eastAsia="Arial" w:hAnsiTheme="majorHAnsi" w:cstheme="majorHAnsi"/>
          <w:b/>
          <w:sz w:val="22"/>
          <w:szCs w:val="22"/>
          <w:u w:val="single"/>
        </w:rPr>
      </w:pPr>
    </w:p>
    <w:p w14:paraId="218089EF"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STATTBAU Stadtentwicklungsgesellschaft mbH</w:t>
      </w:r>
    </w:p>
    <w:p w14:paraId="5B385F07"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z. Hd. Fr. Sauer</w:t>
      </w:r>
    </w:p>
    <w:p w14:paraId="1CA27B24"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 xml:space="preserve">Hermannstraße 182 </w:t>
      </w:r>
    </w:p>
    <w:p w14:paraId="205AE7A0"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12049 Berlin</w:t>
      </w:r>
    </w:p>
    <w:p w14:paraId="5A74ACE8" w14:textId="77777777" w:rsidR="00636199" w:rsidRDefault="00636199">
      <w:pPr>
        <w:spacing w:line="240" w:lineRule="auto"/>
        <w:ind w:left="0" w:hanging="2"/>
        <w:jc w:val="both"/>
        <w:rPr>
          <w:rFonts w:asciiTheme="majorHAnsi" w:eastAsia="Arial" w:hAnsiTheme="majorHAnsi" w:cstheme="majorHAnsi"/>
          <w:sz w:val="22"/>
          <w:szCs w:val="22"/>
        </w:rPr>
      </w:pPr>
    </w:p>
    <w:p w14:paraId="491A1A92"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Tel.: 030 / 690 81 – 0</w:t>
      </w:r>
    </w:p>
    <w:p w14:paraId="097A2829"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Fax: 030 / 690 81 – 111</w:t>
      </w:r>
    </w:p>
    <w:p w14:paraId="2E636D8F"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 xml:space="preserve">E-Mail: </w:t>
      </w:r>
      <w:hyperlink r:id="rId9" w:history="1">
        <w:r>
          <w:rPr>
            <w:rStyle w:val="Hyperlink"/>
            <w:rFonts w:asciiTheme="majorHAnsi" w:eastAsia="Arial" w:hAnsiTheme="majorHAnsi" w:cstheme="majorHAnsi"/>
            <w:sz w:val="22"/>
            <w:szCs w:val="22"/>
          </w:rPr>
          <w:t>sauer@stattbau.de</w:t>
        </w:r>
      </w:hyperlink>
      <w:r>
        <w:rPr>
          <w:rFonts w:asciiTheme="majorHAnsi" w:eastAsia="Arial" w:hAnsiTheme="majorHAnsi" w:cstheme="majorHAnsi"/>
          <w:sz w:val="22"/>
          <w:szCs w:val="22"/>
        </w:rPr>
        <w:t xml:space="preserve"> </w:t>
      </w:r>
    </w:p>
    <w:p w14:paraId="376ED76C"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Internet: www.stattbau.de</w:t>
      </w:r>
    </w:p>
    <w:p w14:paraId="324B2739" w14:textId="77777777" w:rsidR="00636199" w:rsidRDefault="00636199">
      <w:pPr>
        <w:spacing w:line="240" w:lineRule="auto"/>
        <w:ind w:left="0" w:hanging="2"/>
        <w:jc w:val="both"/>
        <w:rPr>
          <w:rFonts w:asciiTheme="majorHAnsi" w:eastAsia="Arial" w:hAnsiTheme="majorHAnsi" w:cstheme="majorHAnsi"/>
          <w:sz w:val="22"/>
          <w:szCs w:val="22"/>
        </w:rPr>
      </w:pPr>
    </w:p>
    <w:p w14:paraId="47346C5A" w14:textId="77777777" w:rsidR="00D46E63" w:rsidRDefault="00D46E63">
      <w:pPr>
        <w:spacing w:line="240" w:lineRule="auto"/>
        <w:ind w:left="0" w:hanging="2"/>
        <w:jc w:val="both"/>
        <w:rPr>
          <w:rFonts w:asciiTheme="majorHAnsi" w:eastAsia="Arial" w:hAnsiTheme="majorHAnsi" w:cstheme="majorHAnsi"/>
          <w:sz w:val="22"/>
          <w:szCs w:val="22"/>
        </w:rPr>
      </w:pPr>
    </w:p>
    <w:p w14:paraId="082C7925"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b/>
          <w:sz w:val="22"/>
          <w:szCs w:val="22"/>
        </w:rPr>
        <w:t>Wer entscheidet über den Antrag bzw. über die Mittelvergabe für Projektanträge?</w:t>
      </w:r>
    </w:p>
    <w:p w14:paraId="2D304633"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Die Anträge werden bei der Geschäftsstelle des FAN-Beirates gesammelt und im Rahmen der Beiratssitzungen inhaltlich beraten und abgestimmt.</w:t>
      </w:r>
    </w:p>
    <w:p w14:paraId="3001F07D" w14:textId="77777777" w:rsidR="00636199" w:rsidRDefault="00636199">
      <w:pPr>
        <w:spacing w:line="240" w:lineRule="auto"/>
        <w:ind w:left="0" w:hanging="2"/>
        <w:jc w:val="both"/>
        <w:rPr>
          <w:rFonts w:asciiTheme="majorHAnsi" w:eastAsia="Arial" w:hAnsiTheme="majorHAnsi" w:cstheme="majorHAnsi"/>
          <w:sz w:val="22"/>
          <w:szCs w:val="22"/>
        </w:rPr>
      </w:pPr>
    </w:p>
    <w:p w14:paraId="5573BCB5"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Der FAN-Beirat begleitet die Maßnahmen im städtebaulichen Sanierungs- und Stadtumbau-Fördergebiet. Mitglieder des FAN-Beirats sind Vertreterinnen und Vertreter der Bewohnerschaft, sozialer und Bildungseinrichtungen, der Gewerbetreibenden und Wohnungseigentümerinnen und -eigentümer. Weitere Vertreterinnen und Vertreter aus Fachgremien und -ämtern sowie Expertinnen und Experten unterstützen ihn beratend.</w:t>
      </w:r>
    </w:p>
    <w:p w14:paraId="541B48AA" w14:textId="77777777" w:rsidR="00636199" w:rsidRDefault="00636199">
      <w:pPr>
        <w:spacing w:line="240" w:lineRule="auto"/>
        <w:ind w:left="0" w:hanging="2"/>
        <w:jc w:val="both"/>
        <w:rPr>
          <w:rFonts w:asciiTheme="majorHAnsi" w:eastAsia="Arial" w:hAnsiTheme="majorHAnsi" w:cstheme="majorHAnsi"/>
          <w:sz w:val="22"/>
          <w:szCs w:val="22"/>
        </w:rPr>
      </w:pPr>
    </w:p>
    <w:p w14:paraId="35BF8497"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 xml:space="preserve">Die Abstimmung zu den eingereichten Anträgen erfolgt nicht öffentlich. Die Antragstellenden können ihr Projekt dem FAN-Beirat vorstellen und können zur Klärung von Fragen vom FAN-Beirat eingeladen werden. </w:t>
      </w:r>
    </w:p>
    <w:p w14:paraId="0F4E5EBD" w14:textId="77777777" w:rsidR="00636199" w:rsidRDefault="00636199">
      <w:pPr>
        <w:spacing w:line="240" w:lineRule="auto"/>
        <w:ind w:left="0" w:hanging="2"/>
        <w:jc w:val="both"/>
        <w:rPr>
          <w:rFonts w:asciiTheme="majorHAnsi" w:eastAsia="Arial" w:hAnsiTheme="majorHAnsi" w:cstheme="majorHAnsi"/>
          <w:sz w:val="22"/>
          <w:szCs w:val="22"/>
        </w:rPr>
      </w:pPr>
    </w:p>
    <w:p w14:paraId="4C952FE2"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Die Entscheidung des Gremiums über Bewilligung, Auflagen oder Ablehnung wird den Antragstellenden umgehend von der Geschäftsstelle des FAN-Beirates mitgeteilt. Das protokollierte Abstimmungsergebnis wird von der Geschäftsstelle an die STATTBAU GmbH zur Kenntnis und Abrechnung übergeben.</w:t>
      </w:r>
    </w:p>
    <w:sectPr w:rsidR="0063619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D4F63" w14:textId="77777777" w:rsidR="00636199" w:rsidRDefault="00D46E63">
      <w:pPr>
        <w:spacing w:line="240" w:lineRule="auto"/>
        <w:ind w:left="0" w:hanging="2"/>
      </w:pPr>
      <w:r>
        <w:separator/>
      </w:r>
    </w:p>
  </w:endnote>
  <w:endnote w:type="continuationSeparator" w:id="0">
    <w:p w14:paraId="4C68F054" w14:textId="77777777" w:rsidR="00636199" w:rsidRDefault="00D46E6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94BD1" w14:textId="77777777" w:rsidR="00636199" w:rsidRDefault="00D46E63">
    <w:pPr>
      <w:tabs>
        <w:tab w:val="center" w:pos="4536"/>
        <w:tab w:val="right" w:pos="9072"/>
      </w:tabs>
      <w:spacing w:line="240" w:lineRule="auto"/>
      <w:ind w:left="0" w:hanging="2"/>
      <w:jc w:val="right"/>
    </w:pPr>
    <w:r>
      <w:fldChar w:fldCharType="begin"/>
    </w:r>
    <w:r>
      <w:instrText>PAGE</w:instrText>
    </w:r>
    <w:r>
      <w:fldChar w:fldCharType="end"/>
    </w:r>
  </w:p>
  <w:p w14:paraId="197E587C" w14:textId="77777777" w:rsidR="00636199" w:rsidRDefault="00636199">
    <w:pPr>
      <w:tabs>
        <w:tab w:val="center" w:pos="4536"/>
        <w:tab w:val="right" w:pos="9072"/>
      </w:tabs>
      <w:spacing w:line="240" w:lineRule="auto"/>
      <w:ind w:left="0" w:right="36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82772" w14:textId="77777777" w:rsidR="00636199" w:rsidRDefault="00D46E63">
    <w:pPr>
      <w:tabs>
        <w:tab w:val="center" w:pos="4536"/>
        <w:tab w:val="right" w:pos="9072"/>
      </w:tabs>
      <w:spacing w:line="240" w:lineRule="auto"/>
      <w:ind w:left="0" w:hanging="2"/>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C32155">
      <w:rPr>
        <w:rFonts w:ascii="Arial" w:eastAsia="Arial" w:hAnsi="Arial" w:cs="Arial"/>
        <w:noProof/>
      </w:rPr>
      <w:t>3</w:t>
    </w:r>
    <w:r>
      <w:rPr>
        <w:rFonts w:ascii="Arial" w:eastAsia="Arial" w:hAnsi="Arial" w:cs="Arial"/>
      </w:rPr>
      <w:fldChar w:fldCharType="end"/>
    </w:r>
  </w:p>
  <w:p w14:paraId="23DDFFF5" w14:textId="77777777" w:rsidR="00636199" w:rsidRDefault="00636199">
    <w:pPr>
      <w:tabs>
        <w:tab w:val="center" w:pos="4536"/>
        <w:tab w:val="right" w:pos="9072"/>
      </w:tabs>
      <w:spacing w:line="240" w:lineRule="auto"/>
      <w:ind w:left="0" w:right="360" w:hanging="2"/>
      <w:rPr>
        <w:rFonts w:ascii="Arial" w:eastAsia="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B96B" w14:textId="77777777" w:rsidR="00636199" w:rsidRDefault="00D46E63">
    <w:pPr>
      <w:tabs>
        <w:tab w:val="center" w:pos="4536"/>
        <w:tab w:val="right" w:pos="9072"/>
      </w:tabs>
      <w:spacing w:line="240" w:lineRule="auto"/>
      <w:ind w:left="0" w:hanging="2"/>
      <w:jc w:val="right"/>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C32155">
      <w:rPr>
        <w:rFonts w:ascii="Arial" w:eastAsia="Arial" w:hAnsi="Arial" w:cs="Arial"/>
        <w:noProof/>
      </w:rPr>
      <w:t>1</w:t>
    </w:r>
    <w:r>
      <w:rPr>
        <w:rFonts w:ascii="Arial" w:eastAsia="Arial" w:hAnsi="Arial" w:cs="Arial"/>
      </w:rPr>
      <w:fldChar w:fldCharType="end"/>
    </w:r>
  </w:p>
  <w:p w14:paraId="1C4E0342" w14:textId="77777777" w:rsidR="00636199" w:rsidRDefault="00636199">
    <w:pPr>
      <w:tabs>
        <w:tab w:val="center" w:pos="4536"/>
        <w:tab w:val="right" w:pos="9072"/>
      </w:tabs>
      <w:spacing w:line="240" w:lineRule="auto"/>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7B9E3" w14:textId="77777777" w:rsidR="00636199" w:rsidRDefault="00D46E63">
      <w:pPr>
        <w:spacing w:line="240" w:lineRule="auto"/>
        <w:ind w:left="0" w:hanging="2"/>
      </w:pPr>
      <w:r>
        <w:separator/>
      </w:r>
    </w:p>
  </w:footnote>
  <w:footnote w:type="continuationSeparator" w:id="0">
    <w:p w14:paraId="54297CB9" w14:textId="77777777" w:rsidR="00636199" w:rsidRDefault="00D46E6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70EE3" w14:textId="77777777" w:rsidR="00636199" w:rsidRDefault="00636199">
    <w:pPr>
      <w:pStyle w:val="Kopfzeil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23DCE" w14:textId="77777777" w:rsidR="00636199" w:rsidRDefault="00636199">
    <w:pPr>
      <w:pStyle w:val="Kopfzeil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CF74A"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Geschäftsstelle FAN-Beirat; Bezirksamt Lichtenberg von Berlin</w:t>
    </w:r>
  </w:p>
  <w:p w14:paraId="37F78FB3"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Daniela Dahlke</w:t>
    </w:r>
  </w:p>
  <w:p w14:paraId="2F509A40"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Alt-Friedrichsfelde 60</w:t>
    </w:r>
  </w:p>
  <w:p w14:paraId="423A4305"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10315 Berlin</w:t>
    </w:r>
  </w:p>
  <w:p w14:paraId="5029F261" w14:textId="77777777" w:rsidR="00636199" w:rsidRDefault="00D46E63">
    <w:pPr>
      <w:spacing w:line="240" w:lineRule="auto"/>
      <w:ind w:left="0" w:hanging="2"/>
      <w:jc w:val="both"/>
      <w:rPr>
        <w:rFonts w:asciiTheme="majorHAnsi" w:eastAsia="Arial" w:hAnsiTheme="majorHAnsi" w:cstheme="majorHAnsi"/>
        <w:sz w:val="22"/>
        <w:szCs w:val="22"/>
      </w:rPr>
    </w:pPr>
    <w:r>
      <w:rPr>
        <w:rFonts w:asciiTheme="majorHAnsi" w:eastAsia="Arial" w:hAnsiTheme="majorHAnsi" w:cstheme="majorHAnsi"/>
        <w:sz w:val="22"/>
        <w:szCs w:val="22"/>
      </w:rPr>
      <w:t>Telefon: 030-90296-3354</w:t>
    </w:r>
  </w:p>
  <w:p w14:paraId="74444BBA" w14:textId="77777777" w:rsidR="00636199" w:rsidRDefault="00C32155">
    <w:pPr>
      <w:spacing w:line="240" w:lineRule="auto"/>
      <w:ind w:left="0" w:hanging="2"/>
      <w:jc w:val="both"/>
      <w:rPr>
        <w:rFonts w:asciiTheme="majorHAnsi" w:eastAsia="Arial" w:hAnsiTheme="majorHAnsi" w:cstheme="majorHAnsi"/>
        <w:sz w:val="22"/>
        <w:szCs w:val="22"/>
      </w:rPr>
    </w:pPr>
    <w:hyperlink r:id="rId1" w:history="1">
      <w:r w:rsidR="00D46E63">
        <w:rPr>
          <w:rStyle w:val="Hyperlink"/>
          <w:rFonts w:asciiTheme="majorHAnsi" w:eastAsia="Arial" w:hAnsiTheme="majorHAnsi" w:cstheme="majorHAnsi"/>
          <w:sz w:val="22"/>
          <w:szCs w:val="22"/>
        </w:rPr>
        <w:t>daniela.dahlke@lichtenberg.berlin.de</w:t>
      </w:r>
    </w:hyperlink>
    <w:r w:rsidR="00D46E63">
      <w:rPr>
        <w:rFonts w:asciiTheme="majorHAnsi" w:eastAsia="Arial" w:hAnsiTheme="majorHAnsi" w:cstheme="majorHAnsi"/>
        <w:sz w:val="22"/>
        <w:szCs w:val="22"/>
      </w:rPr>
      <w:t xml:space="preserve"> </w:t>
    </w:r>
  </w:p>
  <w:p w14:paraId="7B1A0C43" w14:textId="77777777" w:rsidR="00636199" w:rsidRDefault="00636199">
    <w:pPr>
      <w:pStyle w:val="Kopfzeil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6254"/>
    <w:multiLevelType w:val="hybridMultilevel"/>
    <w:tmpl w:val="12CEB514"/>
    <w:lvl w:ilvl="0" w:tplc="04070001">
      <w:start w:val="1"/>
      <w:numFmt w:val="bullet"/>
      <w:lvlText w:val=""/>
      <w:lvlJc w:val="left"/>
      <w:pPr>
        <w:ind w:left="726" w:hanging="360"/>
      </w:pPr>
      <w:rPr>
        <w:rFonts w:ascii="Symbol" w:hAnsi="Symbol" w:hint="default"/>
      </w:rPr>
    </w:lvl>
    <w:lvl w:ilvl="1" w:tplc="04070003" w:tentative="1">
      <w:start w:val="1"/>
      <w:numFmt w:val="bullet"/>
      <w:lvlText w:val="o"/>
      <w:lvlJc w:val="left"/>
      <w:pPr>
        <w:ind w:left="1446" w:hanging="360"/>
      </w:pPr>
      <w:rPr>
        <w:rFonts w:ascii="Courier New" w:hAnsi="Courier New" w:cs="Courier New" w:hint="default"/>
      </w:rPr>
    </w:lvl>
    <w:lvl w:ilvl="2" w:tplc="04070005" w:tentative="1">
      <w:start w:val="1"/>
      <w:numFmt w:val="bullet"/>
      <w:lvlText w:val=""/>
      <w:lvlJc w:val="left"/>
      <w:pPr>
        <w:ind w:left="2166" w:hanging="360"/>
      </w:pPr>
      <w:rPr>
        <w:rFonts w:ascii="Wingdings" w:hAnsi="Wingdings" w:hint="default"/>
      </w:rPr>
    </w:lvl>
    <w:lvl w:ilvl="3" w:tplc="04070001" w:tentative="1">
      <w:start w:val="1"/>
      <w:numFmt w:val="bullet"/>
      <w:lvlText w:val=""/>
      <w:lvlJc w:val="left"/>
      <w:pPr>
        <w:ind w:left="2886" w:hanging="360"/>
      </w:pPr>
      <w:rPr>
        <w:rFonts w:ascii="Symbol" w:hAnsi="Symbol" w:hint="default"/>
      </w:rPr>
    </w:lvl>
    <w:lvl w:ilvl="4" w:tplc="04070003" w:tentative="1">
      <w:start w:val="1"/>
      <w:numFmt w:val="bullet"/>
      <w:lvlText w:val="o"/>
      <w:lvlJc w:val="left"/>
      <w:pPr>
        <w:ind w:left="3606" w:hanging="360"/>
      </w:pPr>
      <w:rPr>
        <w:rFonts w:ascii="Courier New" w:hAnsi="Courier New" w:cs="Courier New" w:hint="default"/>
      </w:rPr>
    </w:lvl>
    <w:lvl w:ilvl="5" w:tplc="04070005" w:tentative="1">
      <w:start w:val="1"/>
      <w:numFmt w:val="bullet"/>
      <w:lvlText w:val=""/>
      <w:lvlJc w:val="left"/>
      <w:pPr>
        <w:ind w:left="4326" w:hanging="360"/>
      </w:pPr>
      <w:rPr>
        <w:rFonts w:ascii="Wingdings" w:hAnsi="Wingdings" w:hint="default"/>
      </w:rPr>
    </w:lvl>
    <w:lvl w:ilvl="6" w:tplc="04070001" w:tentative="1">
      <w:start w:val="1"/>
      <w:numFmt w:val="bullet"/>
      <w:lvlText w:val=""/>
      <w:lvlJc w:val="left"/>
      <w:pPr>
        <w:ind w:left="5046" w:hanging="360"/>
      </w:pPr>
      <w:rPr>
        <w:rFonts w:ascii="Symbol" w:hAnsi="Symbol" w:hint="default"/>
      </w:rPr>
    </w:lvl>
    <w:lvl w:ilvl="7" w:tplc="04070003" w:tentative="1">
      <w:start w:val="1"/>
      <w:numFmt w:val="bullet"/>
      <w:lvlText w:val="o"/>
      <w:lvlJc w:val="left"/>
      <w:pPr>
        <w:ind w:left="5766" w:hanging="360"/>
      </w:pPr>
      <w:rPr>
        <w:rFonts w:ascii="Courier New" w:hAnsi="Courier New" w:cs="Courier New" w:hint="default"/>
      </w:rPr>
    </w:lvl>
    <w:lvl w:ilvl="8" w:tplc="04070005" w:tentative="1">
      <w:start w:val="1"/>
      <w:numFmt w:val="bullet"/>
      <w:lvlText w:val=""/>
      <w:lvlJc w:val="left"/>
      <w:pPr>
        <w:ind w:left="6486" w:hanging="360"/>
      </w:pPr>
      <w:rPr>
        <w:rFonts w:ascii="Wingdings" w:hAnsi="Wingdings" w:hint="default"/>
      </w:rPr>
    </w:lvl>
  </w:abstractNum>
  <w:abstractNum w:abstractNumId="1">
    <w:nsid w:val="203245AD"/>
    <w:multiLevelType w:val="multilevel"/>
    <w:tmpl w:val="7AACB230"/>
    <w:lvl w:ilvl="0">
      <w:numFmt w:val="bullet"/>
      <w:lvlText w:val="-"/>
      <w:lvlJc w:val="left"/>
      <w:pPr>
        <w:ind w:left="366" w:hanging="360"/>
      </w:pPr>
      <w:rPr>
        <w:rFonts w:ascii="Arial" w:eastAsia="Arial" w:hAnsi="Arial" w:cs="Arial"/>
        <w:vertAlign w:val="baseline"/>
      </w:rPr>
    </w:lvl>
    <w:lvl w:ilvl="1">
      <w:start w:val="1"/>
      <w:numFmt w:val="bullet"/>
      <w:lvlText w:val="o"/>
      <w:lvlJc w:val="left"/>
      <w:pPr>
        <w:ind w:left="1086" w:hanging="360"/>
      </w:pPr>
      <w:rPr>
        <w:rFonts w:ascii="Courier New" w:eastAsia="Courier New" w:hAnsi="Courier New" w:cs="Courier New"/>
        <w:vertAlign w:val="baseline"/>
      </w:rPr>
    </w:lvl>
    <w:lvl w:ilvl="2">
      <w:start w:val="1"/>
      <w:numFmt w:val="bullet"/>
      <w:lvlText w:val="▪"/>
      <w:lvlJc w:val="left"/>
      <w:pPr>
        <w:ind w:left="1806" w:hanging="360"/>
      </w:pPr>
      <w:rPr>
        <w:rFonts w:ascii="Noto Sans Symbols" w:eastAsia="Noto Sans Symbols" w:hAnsi="Noto Sans Symbols" w:cs="Noto Sans Symbols"/>
        <w:vertAlign w:val="baseline"/>
      </w:rPr>
    </w:lvl>
    <w:lvl w:ilvl="3">
      <w:start w:val="1"/>
      <w:numFmt w:val="bullet"/>
      <w:lvlText w:val="●"/>
      <w:lvlJc w:val="left"/>
      <w:pPr>
        <w:ind w:left="2526" w:hanging="360"/>
      </w:pPr>
      <w:rPr>
        <w:rFonts w:ascii="Noto Sans Symbols" w:eastAsia="Noto Sans Symbols" w:hAnsi="Noto Sans Symbols" w:cs="Noto Sans Symbols"/>
        <w:vertAlign w:val="baseline"/>
      </w:rPr>
    </w:lvl>
    <w:lvl w:ilvl="4">
      <w:start w:val="1"/>
      <w:numFmt w:val="bullet"/>
      <w:lvlText w:val="o"/>
      <w:lvlJc w:val="left"/>
      <w:pPr>
        <w:ind w:left="3246" w:hanging="360"/>
      </w:pPr>
      <w:rPr>
        <w:rFonts w:ascii="Courier New" w:eastAsia="Courier New" w:hAnsi="Courier New" w:cs="Courier New"/>
        <w:vertAlign w:val="baseline"/>
      </w:rPr>
    </w:lvl>
    <w:lvl w:ilvl="5">
      <w:start w:val="1"/>
      <w:numFmt w:val="bullet"/>
      <w:lvlText w:val="▪"/>
      <w:lvlJc w:val="left"/>
      <w:pPr>
        <w:ind w:left="3966" w:hanging="360"/>
      </w:pPr>
      <w:rPr>
        <w:rFonts w:ascii="Noto Sans Symbols" w:eastAsia="Noto Sans Symbols" w:hAnsi="Noto Sans Symbols" w:cs="Noto Sans Symbols"/>
        <w:vertAlign w:val="baseline"/>
      </w:rPr>
    </w:lvl>
    <w:lvl w:ilvl="6">
      <w:start w:val="1"/>
      <w:numFmt w:val="bullet"/>
      <w:lvlText w:val="●"/>
      <w:lvlJc w:val="left"/>
      <w:pPr>
        <w:ind w:left="4686" w:hanging="360"/>
      </w:pPr>
      <w:rPr>
        <w:rFonts w:ascii="Noto Sans Symbols" w:eastAsia="Noto Sans Symbols" w:hAnsi="Noto Sans Symbols" w:cs="Noto Sans Symbols"/>
        <w:vertAlign w:val="baseline"/>
      </w:rPr>
    </w:lvl>
    <w:lvl w:ilvl="7">
      <w:start w:val="1"/>
      <w:numFmt w:val="bullet"/>
      <w:lvlText w:val="o"/>
      <w:lvlJc w:val="left"/>
      <w:pPr>
        <w:ind w:left="5406" w:hanging="360"/>
      </w:pPr>
      <w:rPr>
        <w:rFonts w:ascii="Courier New" w:eastAsia="Courier New" w:hAnsi="Courier New" w:cs="Courier New"/>
        <w:vertAlign w:val="baseline"/>
      </w:rPr>
    </w:lvl>
    <w:lvl w:ilvl="8">
      <w:start w:val="1"/>
      <w:numFmt w:val="bullet"/>
      <w:lvlText w:val="▪"/>
      <w:lvlJc w:val="left"/>
      <w:pPr>
        <w:ind w:left="6126" w:hanging="360"/>
      </w:pPr>
      <w:rPr>
        <w:rFonts w:ascii="Noto Sans Symbols" w:eastAsia="Noto Sans Symbols" w:hAnsi="Noto Sans Symbols" w:cs="Noto Sans Symbols"/>
        <w:vertAlign w:val="baseline"/>
      </w:rPr>
    </w:lvl>
  </w:abstractNum>
  <w:abstractNum w:abstractNumId="2">
    <w:nsid w:val="609B64CA"/>
    <w:multiLevelType w:val="hybridMultilevel"/>
    <w:tmpl w:val="B5CE10C2"/>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99"/>
    <w:rsid w:val="00636199"/>
    <w:rsid w:val="00C32155"/>
    <w:rsid w:val="00D46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de-DE" w:eastAsia="de-DE"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berschrift1">
    <w:name w:val="heading 1"/>
    <w:basedOn w:val="Standard"/>
    <w:next w:val="Standard"/>
    <w:pPr>
      <w:keepNext/>
      <w:keepLines/>
      <w:spacing w:before="480" w:after="12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Fuzeile">
    <w:name w:val="footer"/>
    <w:basedOn w:val="Standard"/>
    <w:pPr>
      <w:tabs>
        <w:tab w:val="center" w:pos="4536"/>
        <w:tab w:val="right" w:pos="9072"/>
      </w:tabs>
    </w:pPr>
  </w:style>
  <w:style w:type="character" w:styleId="Seitenzahl">
    <w:name w:val="page number"/>
    <w:basedOn w:val="Absatz-Standardschriftar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Dokumentstruktur">
    <w:name w:val="Document Map"/>
    <w:basedOn w:val="Standard"/>
    <w:pPr>
      <w:shd w:val="clear" w:color="auto" w:fill="000080"/>
    </w:pPr>
    <w:rPr>
      <w:rFonts w:ascii="Tahoma" w:hAnsi="Tahoma" w:cs="Tahoma"/>
      <w:sz w:val="20"/>
      <w:szCs w:val="20"/>
    </w:rPr>
  </w:style>
  <w:style w:type="paragraph" w:styleId="Kopfzeile">
    <w:name w:val="header"/>
    <w:basedOn w:val="Standard"/>
    <w:pPr>
      <w:tabs>
        <w:tab w:val="center" w:pos="4536"/>
        <w:tab w:val="right" w:pos="9072"/>
      </w:tabs>
    </w:pPr>
  </w:style>
  <w:style w:type="character" w:customStyle="1" w:styleId="KopfzeileZchn">
    <w:name w:val="Kopfzeile Zchn"/>
    <w:rPr>
      <w:w w:val="100"/>
      <w:position w:val="-1"/>
      <w:sz w:val="24"/>
      <w:szCs w:val="24"/>
      <w:effect w:val="none"/>
      <w:vertAlign w:val="baseline"/>
      <w:cs w:val="0"/>
      <w:em w:val="none"/>
    </w:rPr>
  </w:style>
  <w:style w:type="character" w:customStyle="1" w:styleId="FuzeileZchn">
    <w:name w:val="Fußzeile Zchn"/>
    <w:rPr>
      <w:w w:val="100"/>
      <w:position w:val="-1"/>
      <w:sz w:val="24"/>
      <w:szCs w:val="24"/>
      <w:effect w:val="none"/>
      <w:vertAlign w:val="baseline"/>
      <w:cs w:val="0"/>
      <w:em w:val="non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de-DE" w:eastAsia="de-DE"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berschrift1">
    <w:name w:val="heading 1"/>
    <w:basedOn w:val="Standard"/>
    <w:next w:val="Standard"/>
    <w:pPr>
      <w:keepNext/>
      <w:keepLines/>
      <w:spacing w:before="480" w:after="12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Fuzeile">
    <w:name w:val="footer"/>
    <w:basedOn w:val="Standard"/>
    <w:pPr>
      <w:tabs>
        <w:tab w:val="center" w:pos="4536"/>
        <w:tab w:val="right" w:pos="9072"/>
      </w:tabs>
    </w:pPr>
  </w:style>
  <w:style w:type="character" w:styleId="Seitenzahl">
    <w:name w:val="page number"/>
    <w:basedOn w:val="Absatz-Standardschriftart"/>
    <w:rPr>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Dokumentstruktur">
    <w:name w:val="Document Map"/>
    <w:basedOn w:val="Standard"/>
    <w:pPr>
      <w:shd w:val="clear" w:color="auto" w:fill="000080"/>
    </w:pPr>
    <w:rPr>
      <w:rFonts w:ascii="Tahoma" w:hAnsi="Tahoma" w:cs="Tahoma"/>
      <w:sz w:val="20"/>
      <w:szCs w:val="20"/>
    </w:rPr>
  </w:style>
  <w:style w:type="paragraph" w:styleId="Kopfzeile">
    <w:name w:val="header"/>
    <w:basedOn w:val="Standard"/>
    <w:pPr>
      <w:tabs>
        <w:tab w:val="center" w:pos="4536"/>
        <w:tab w:val="right" w:pos="9072"/>
      </w:tabs>
    </w:pPr>
  </w:style>
  <w:style w:type="character" w:customStyle="1" w:styleId="KopfzeileZchn">
    <w:name w:val="Kopfzeile Zchn"/>
    <w:rPr>
      <w:w w:val="100"/>
      <w:position w:val="-1"/>
      <w:sz w:val="24"/>
      <w:szCs w:val="24"/>
      <w:effect w:val="none"/>
      <w:vertAlign w:val="baseline"/>
      <w:cs w:val="0"/>
      <w:em w:val="none"/>
    </w:rPr>
  </w:style>
  <w:style w:type="character" w:customStyle="1" w:styleId="FuzeileZchn">
    <w:name w:val="Fußzeile Zchn"/>
    <w:rPr>
      <w:w w:val="100"/>
      <w:position w:val="-1"/>
      <w:sz w:val="24"/>
      <w:szCs w:val="24"/>
      <w:effect w:val="none"/>
      <w:vertAlign w:val="baseline"/>
      <w:cs w:val="0"/>
      <w:em w:val="non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aniela.dahlke@lichtenberg.berlin.d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uer@stattbau.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mailto:daniela.dahlke@lichtenberg.berli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4910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Bezirksamt Lichtenberg</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Dahlke, Daniela</dc:creator>
  <cp:lastModifiedBy>Doreen Kröber</cp:lastModifiedBy>
  <cp:revision>2</cp:revision>
  <dcterms:created xsi:type="dcterms:W3CDTF">2025-02-07T07:15:00Z</dcterms:created>
  <dcterms:modified xsi:type="dcterms:W3CDTF">2025-02-07T07:15:00Z</dcterms:modified>
</cp:coreProperties>
</file>